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93" w:rsidRDefault="00124793" w:rsidP="00124793">
      <w:pPr>
        <w:jc w:val="right"/>
        <w:rPr>
          <w:b/>
          <w:color w:val="000000"/>
          <w:spacing w:val="-2"/>
        </w:rPr>
      </w:pPr>
      <w:r>
        <w:rPr>
          <w:b/>
          <w:color w:val="000000"/>
          <w:spacing w:val="-2"/>
        </w:rPr>
        <w:t xml:space="preserve">Załącznik nr </w:t>
      </w:r>
      <w:r w:rsidR="00C82795">
        <w:rPr>
          <w:b/>
          <w:color w:val="000000"/>
          <w:spacing w:val="-2"/>
        </w:rPr>
        <w:t xml:space="preserve">2 </w:t>
      </w:r>
      <w:r>
        <w:rPr>
          <w:b/>
          <w:color w:val="000000"/>
          <w:spacing w:val="-2"/>
        </w:rPr>
        <w:t>do SWZ</w:t>
      </w:r>
    </w:p>
    <w:p w:rsidR="00124793" w:rsidRDefault="00124793" w:rsidP="00124793">
      <w:pPr>
        <w:jc w:val="right"/>
        <w:rPr>
          <w:b/>
          <w:color w:val="000000"/>
          <w:spacing w:val="-2"/>
        </w:rPr>
      </w:pPr>
    </w:p>
    <w:p w:rsidR="00436A3F" w:rsidRDefault="00436A3F" w:rsidP="00436A3F">
      <w:pPr>
        <w:rPr>
          <w:color w:val="000000"/>
          <w:sz w:val="16"/>
          <w:szCs w:val="16"/>
        </w:rPr>
      </w:pPr>
    </w:p>
    <w:p w:rsidR="00C82795" w:rsidRPr="00C82795" w:rsidRDefault="00C82795" w:rsidP="00C82795">
      <w:pPr>
        <w:jc w:val="center"/>
        <w:rPr>
          <w:b/>
          <w:color w:val="000000"/>
          <w:sz w:val="16"/>
          <w:szCs w:val="16"/>
        </w:rPr>
      </w:pPr>
      <w:r>
        <w:rPr>
          <w:rFonts w:ascii="Calibri" w:hAnsi="Calibri" w:cs="Calibri"/>
          <w:b/>
          <w:sz w:val="22"/>
          <w:szCs w:val="22"/>
        </w:rPr>
        <w:t>S</w:t>
      </w:r>
      <w:r w:rsidRPr="00C82795">
        <w:rPr>
          <w:rFonts w:ascii="Calibri" w:hAnsi="Calibri" w:cs="Calibri"/>
          <w:b/>
          <w:sz w:val="22"/>
          <w:szCs w:val="22"/>
        </w:rPr>
        <w:t>zczegółowy opis przedmiotu zamówienia, wymagane parametry</w:t>
      </w:r>
    </w:p>
    <w:p w:rsidR="00124793" w:rsidRDefault="00124793" w:rsidP="00436A3F">
      <w:pPr>
        <w:rPr>
          <w:color w:val="000000"/>
          <w:sz w:val="16"/>
          <w:szCs w:val="16"/>
        </w:rPr>
      </w:pPr>
    </w:p>
    <w:tbl>
      <w:tblPr>
        <w:tblW w:w="14685" w:type="dxa"/>
        <w:tblInd w:w="-185" w:type="dxa"/>
        <w:tblLayout w:type="fixed"/>
        <w:tblLook w:val="04A0"/>
      </w:tblPr>
      <w:tblGrid>
        <w:gridCol w:w="576"/>
        <w:gridCol w:w="3259"/>
        <w:gridCol w:w="1843"/>
        <w:gridCol w:w="1843"/>
        <w:gridCol w:w="2834"/>
        <w:gridCol w:w="4330"/>
      </w:tblGrid>
      <w:tr w:rsidR="00436A3F" w:rsidTr="00436A3F">
        <w:trPr>
          <w:gridAfter w:val="1"/>
          <w:wAfter w:w="4331" w:type="dxa"/>
          <w:trHeight w:val="68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Opis parametrów wymaganych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Parametr oferowany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Punktacja</w:t>
            </w:r>
          </w:p>
        </w:tc>
      </w:tr>
      <w:tr w:rsidR="00436A3F" w:rsidTr="00436A3F">
        <w:trPr>
          <w:gridAfter w:val="1"/>
          <w:wAfter w:w="4331" w:type="dxa"/>
          <w:trHeight w:val="298"/>
        </w:trPr>
        <w:tc>
          <w:tcPr>
            <w:tcW w:w="10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WYMAGANIA OGÓLNE</w:t>
            </w:r>
          </w:p>
        </w:tc>
      </w:tr>
      <w:tr w:rsidR="00436A3F" w:rsidTr="00436A3F">
        <w:trPr>
          <w:gridAfter w:val="1"/>
          <w:wAfter w:w="4331" w:type="dxa"/>
          <w:trHeight w:val="123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spacing w:line="312" w:lineRule="exact"/>
              <w:jc w:val="both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 xml:space="preserve">Nazwa oferowanego urządzenia: </w:t>
            </w:r>
          </w:p>
          <w:p w:rsidR="00436A3F" w:rsidRDefault="00436A3F">
            <w:pPr>
              <w:spacing w:line="312" w:lineRule="exact"/>
              <w:jc w:val="both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Producent:</w:t>
            </w:r>
            <w:r>
              <w:rPr>
                <w:rFonts w:ascii="Cambria" w:hAnsi="Cambria"/>
                <w:color w:val="000000"/>
              </w:rPr>
              <w:tab/>
            </w:r>
          </w:p>
          <w:p w:rsidR="00436A3F" w:rsidRDefault="00436A3F">
            <w:pPr>
              <w:widowControl w:val="0"/>
              <w:spacing w:line="276" w:lineRule="auto"/>
              <w:jc w:val="both"/>
              <w:rPr>
                <w:rFonts w:ascii="Cambria" w:eastAsia="Lucida Sans Unicode" w:hAnsi="Cambria"/>
                <w:color w:val="000000"/>
                <w:kern w:val="2"/>
              </w:rPr>
            </w:pPr>
            <w:r>
              <w:rPr>
                <w:rFonts w:ascii="Cambria" w:eastAsia="Lucida Sans Unicode" w:hAnsi="Cambria"/>
                <w:color w:val="000000"/>
                <w:kern w:val="2"/>
              </w:rPr>
              <w:t>Typ:</w:t>
            </w:r>
          </w:p>
          <w:p w:rsidR="00436A3F" w:rsidRDefault="00436A3F">
            <w:pPr>
              <w:autoSpaceDE w:val="0"/>
              <w:snapToGrid w:val="0"/>
              <w:spacing w:line="312" w:lineRule="exact"/>
              <w:jc w:val="both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Rok produkcji: min 2023</w:t>
            </w:r>
          </w:p>
          <w:p w:rsidR="00436A3F" w:rsidRDefault="00436A3F">
            <w:pPr>
              <w:autoSpaceDE w:val="0"/>
              <w:snapToGrid w:val="0"/>
              <w:spacing w:line="312" w:lineRule="exact"/>
              <w:jc w:val="both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 xml:space="preserve">Urządzenie fabrycznie nowe, nie powystawowe.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jc w:val="both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jc w:val="both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Zasilanie jednofazowe </w:t>
            </w:r>
            <w:r>
              <w:rPr>
                <w:rFonts w:ascii="Cambria" w:eastAsia="SimSun" w:hAnsi="Cambria"/>
                <w:color w:val="000000"/>
                <w:spacing w:val="-1"/>
                <w:kern w:val="2"/>
              </w:rPr>
              <w:t>230V/ 50 Hz.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Zakres dopuszczalnych wahań napięcia zasilającego +/- 10%.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Moc generatora m</w:t>
            </w:r>
            <w:r>
              <w:rPr>
                <w:rFonts w:ascii="Cambria" w:eastAsia="SimSun" w:hAnsi="Cambria"/>
                <w:color w:val="000000"/>
                <w:spacing w:val="-1"/>
                <w:kern w:val="2"/>
              </w:rPr>
              <w:t xml:space="preserve">in. 2,3 kW max. 2,5 </w:t>
            </w:r>
            <w:proofErr w:type="spellStart"/>
            <w:r>
              <w:rPr>
                <w:rFonts w:ascii="Cambria" w:eastAsia="SimSun" w:hAnsi="Cambria"/>
                <w:color w:val="000000"/>
                <w:spacing w:val="-1"/>
                <w:kern w:val="2"/>
              </w:rPr>
              <w:t>kW</w:t>
            </w:r>
            <w:proofErr w:type="spellEnd"/>
            <w:r>
              <w:rPr>
                <w:rFonts w:ascii="Cambria" w:eastAsia="SimSun" w:hAnsi="Cambria"/>
                <w:color w:val="000000"/>
                <w:spacing w:val="-1"/>
                <w:kern w:val="2"/>
              </w:rPr>
              <w:t>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Wartość </w:t>
            </w:r>
            <w:r w:rsidR="009F2646">
              <w:rPr>
                <w:rFonts w:ascii="Cambria" w:hAnsi="Cambria"/>
              </w:rPr>
              <w:t xml:space="preserve">min. 2,3 </w:t>
            </w:r>
            <w:proofErr w:type="spellStart"/>
            <w:r w:rsidR="009F2646">
              <w:rPr>
                <w:rFonts w:ascii="Cambria" w:hAnsi="Cambria"/>
              </w:rPr>
              <w:t>kW</w:t>
            </w:r>
            <w:proofErr w:type="spellEnd"/>
            <w:r>
              <w:rPr>
                <w:rFonts w:ascii="Cambria" w:hAnsi="Cambria"/>
              </w:rPr>
              <w:t xml:space="preserve"> – 0 pkt.</w:t>
            </w:r>
          </w:p>
          <w:p w:rsidR="00436A3F" w:rsidRDefault="00436A3F" w:rsidP="009F2646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Wartość </w:t>
            </w:r>
            <w:proofErr w:type="spellStart"/>
            <w:r w:rsidR="009F2646">
              <w:rPr>
                <w:rFonts w:ascii="Cambria" w:hAnsi="Cambria"/>
              </w:rPr>
              <w:t>max</w:t>
            </w:r>
            <w:proofErr w:type="spellEnd"/>
            <w:r w:rsidR="009F2646">
              <w:rPr>
                <w:rFonts w:ascii="Cambria" w:hAnsi="Cambria"/>
              </w:rPr>
              <w:t xml:space="preserve">. 2,5 </w:t>
            </w:r>
            <w:proofErr w:type="spellStart"/>
            <w:r w:rsidR="009F2646">
              <w:rPr>
                <w:rFonts w:ascii="Cambria" w:hAnsi="Cambria"/>
              </w:rPr>
              <w:t>kW</w:t>
            </w:r>
            <w:proofErr w:type="spellEnd"/>
            <w:r>
              <w:rPr>
                <w:rFonts w:ascii="Cambria" w:hAnsi="Cambria"/>
              </w:rPr>
              <w:t xml:space="preserve"> – 5 </w:t>
            </w:r>
            <w:proofErr w:type="spellStart"/>
            <w:r>
              <w:rPr>
                <w:rFonts w:ascii="Cambria" w:hAnsi="Cambria"/>
              </w:rPr>
              <w:t>pkt</w:t>
            </w:r>
            <w:proofErr w:type="spellEnd"/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Typ generatora, wysokiej częstotliwości min. 40 kHz.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Prąd dla trybów fluoroskopii ciągłej ≥12mA</w:t>
            </w:r>
          </w:p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Automatyka parametrów fluoroskopii.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Prąd dla trybów fluoroskopii pulsacyjnej  ≥25mA</w:t>
            </w:r>
          </w:p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Radiografia cyfrowa.</w:t>
            </w:r>
          </w:p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Prąd radiografii cyfrowej min. 20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mA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>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Układ minimalizujący dawkę przy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skopii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 xml:space="preserve">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load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 xml:space="preserve">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dose</w:t>
            </w:r>
            <w:proofErr w:type="spellEnd"/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11.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Zakres napięć fluoroskopii i radiografii 40-110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kV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>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12.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Automatyka doboru parametrów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skopii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>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13.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Skopia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wysokopulsacyjna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 xml:space="preserve"> lub Skopia pulsacyjna w zakresie min. 1 do 8 pulsów/s i skopia ciągła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A"/>
                <w:kern w:val="2"/>
              </w:rPr>
            </w:pPr>
            <w:r>
              <w:rPr>
                <w:rFonts w:ascii="Cambria" w:eastAsia="SimSun" w:hAnsi="Cambria"/>
                <w:color w:val="00000A"/>
                <w:kern w:val="2"/>
              </w:rPr>
              <w:t xml:space="preserve">Skopia </w:t>
            </w:r>
            <w:proofErr w:type="spellStart"/>
            <w:r>
              <w:rPr>
                <w:rFonts w:ascii="Cambria" w:eastAsia="SimSun" w:hAnsi="Cambria"/>
                <w:color w:val="00000A"/>
                <w:kern w:val="2"/>
              </w:rPr>
              <w:t>wysokopulsacyjna</w:t>
            </w:r>
            <w:proofErr w:type="spellEnd"/>
            <w:r>
              <w:rPr>
                <w:rFonts w:ascii="Cambria" w:eastAsia="SimSun" w:hAnsi="Cambria"/>
                <w:color w:val="00000A"/>
                <w:kern w:val="2"/>
              </w:rPr>
              <w:t xml:space="preserve"> –   0 pkt.</w:t>
            </w:r>
          </w:p>
          <w:p w:rsidR="00436A3F" w:rsidRDefault="00436A3F">
            <w:pPr>
              <w:widowControl w:val="0"/>
              <w:shd w:val="clear" w:color="auto" w:fill="FFFFFF"/>
              <w:snapToGrid w:val="0"/>
              <w:spacing w:line="100" w:lineRule="atLeast"/>
              <w:rPr>
                <w:rFonts w:ascii="Cambria" w:eastAsia="SimSun" w:hAnsi="Cambria"/>
                <w:color w:val="00000A"/>
                <w:kern w:val="2"/>
              </w:rPr>
            </w:pPr>
            <w:r>
              <w:rPr>
                <w:rFonts w:ascii="Cambria" w:eastAsia="SimSun" w:hAnsi="Cambria"/>
                <w:color w:val="00000A"/>
                <w:kern w:val="2"/>
              </w:rPr>
              <w:t xml:space="preserve">Skopia pulsacyjna – </w:t>
            </w:r>
            <w:r>
              <w:rPr>
                <w:rFonts w:ascii="Cambria" w:eastAsia="SimSun" w:hAnsi="Cambria"/>
                <w:color w:val="000000"/>
                <w:kern w:val="2"/>
              </w:rPr>
              <w:t>1 do 8</w:t>
            </w:r>
            <w:r>
              <w:rPr>
                <w:rFonts w:ascii="Cambria" w:eastAsia="SimSun" w:hAnsi="Cambria"/>
                <w:color w:val="FF0000"/>
                <w:kern w:val="2"/>
              </w:rPr>
              <w:t xml:space="preserve"> </w:t>
            </w:r>
            <w:r>
              <w:rPr>
                <w:rFonts w:ascii="Cambria" w:eastAsia="SimSun" w:hAnsi="Cambria"/>
                <w:color w:val="000000"/>
                <w:kern w:val="2"/>
              </w:rPr>
              <w:t>pulsów/s oraz skopia ciągła</w:t>
            </w:r>
            <w:r w:rsidR="00157DB7">
              <w:rPr>
                <w:rFonts w:ascii="Cambria" w:eastAsia="SimSun" w:hAnsi="Cambria"/>
                <w:color w:val="00000A"/>
                <w:kern w:val="2"/>
              </w:rPr>
              <w:t xml:space="preserve"> –3</w:t>
            </w:r>
            <w:r>
              <w:rPr>
                <w:rFonts w:ascii="Cambria" w:eastAsia="SimSun" w:hAnsi="Cambria"/>
                <w:color w:val="00000A"/>
                <w:kern w:val="2"/>
              </w:rPr>
              <w:t xml:space="preserve"> pkt.</w:t>
            </w: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14.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Przycisk dedykowany do uruchomienia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skopii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 xml:space="preserve"> ciągłej przez użytkownika na tablecie do sterowania funkcjami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A"/>
                <w:kern w:val="2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10358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LAMPA X-RAY</w:t>
            </w: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15.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Lampa ze stacjonarną anodą – jedno lub dwuogniskowa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Lampa jednoogniskowa – 0 pkt.</w:t>
            </w:r>
          </w:p>
          <w:p w:rsidR="00436A3F" w:rsidRDefault="00157DB7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Lampa dwuogniskowa – 3</w:t>
            </w:r>
            <w:r w:rsidR="00436A3F">
              <w:rPr>
                <w:rFonts w:ascii="Cambria" w:hAnsi="Cambria"/>
              </w:rPr>
              <w:t xml:space="preserve"> </w:t>
            </w:r>
            <w:proofErr w:type="spellStart"/>
            <w:r w:rsidR="00436A3F">
              <w:rPr>
                <w:rFonts w:ascii="Cambria" w:hAnsi="Cambria"/>
              </w:rPr>
              <w:t>pkt</w:t>
            </w:r>
            <w:proofErr w:type="spellEnd"/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16.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Totalna filtracja min. 3,3 mm Al.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highlight w:val="yellow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highlight w:val="yellow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17.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Wielkość mniejszego ogniska max. 0,6 mm.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18.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Pojemność cieplna anody min. 50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kHU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>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124793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19.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Pojemność cieplna kołpaka min. 900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kHU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>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124793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20.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Szybkość chłodzenia anody min. 37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kHU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>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napToGrid w:val="0"/>
              <w:spacing w:line="100" w:lineRule="atLeast"/>
              <w:rPr>
                <w:rFonts w:ascii="Cambria" w:eastAsia="SimSun" w:hAnsi="Cambria"/>
                <w:color w:val="00000A"/>
                <w:kern w:val="2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21.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Kolimator typu IRIS.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22.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Kolimator szczelinowy z rotacją.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23.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Ustawienie kolimatorów na zamrożonym obrazie bez użycia promieniowania.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10358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WÓZEK Z RAMIENIEM C</w:t>
            </w: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24.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Waga wózka z ramieniem C max. 310kg.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25.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hAnsi="Cambria"/>
                <w:lang w:eastAsia="en-US"/>
              </w:rPr>
              <w:t xml:space="preserve">Szerokość wózka ramienia C  </w:t>
            </w:r>
            <w:r>
              <w:rPr>
                <w:rFonts w:ascii="Cambria" w:hAnsi="Cambria"/>
                <w:color w:val="000000"/>
                <w:lang w:eastAsia="en-US"/>
              </w:rPr>
              <w:t>≤ 79cm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26.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Głębokość ramienia C min. 66 cm.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27.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Wolna przestrzeń: min. 78 cm.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28.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Odległość SID min. 100 cm.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29.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Zakres ruchu poziomego ramienia C min. 20 cm.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napToGrid w:val="0"/>
              <w:spacing w:line="100" w:lineRule="atLeast"/>
              <w:rPr>
                <w:rFonts w:ascii="Cambria" w:eastAsia="SimSun" w:hAnsi="Cambria"/>
                <w:color w:val="00000A"/>
                <w:kern w:val="2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30.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Zakres ruchu pionowego ramienia C min. 42 cm.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A"/>
                <w:kern w:val="2"/>
              </w:rPr>
            </w:pPr>
            <w:r>
              <w:rPr>
                <w:rFonts w:ascii="Cambria" w:eastAsia="SimSun" w:hAnsi="Cambria"/>
                <w:color w:val="00000A"/>
                <w:kern w:val="2"/>
              </w:rPr>
              <w:t>Wartość wymagana –   0 pkt</w:t>
            </w:r>
          </w:p>
          <w:p w:rsidR="00436A3F" w:rsidRDefault="00157DB7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Wartość większa – 4</w:t>
            </w:r>
            <w:r w:rsidR="00436A3F">
              <w:rPr>
                <w:rFonts w:ascii="Cambria" w:hAnsi="Cambria"/>
              </w:rPr>
              <w:t xml:space="preserve"> </w:t>
            </w:r>
            <w:proofErr w:type="spellStart"/>
            <w:r w:rsidR="00436A3F">
              <w:rPr>
                <w:rFonts w:ascii="Cambria" w:hAnsi="Cambria"/>
              </w:rPr>
              <w:t>pkt</w:t>
            </w:r>
            <w:proofErr w:type="spellEnd"/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31.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pacing w:before="60" w:after="200" w:line="288" w:lineRule="auto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Zakres obroty ramienia C wokół osi pionowej (Wig-Wag) min. 20°.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rPr>
                <w:rFonts w:ascii="Cambria" w:eastAsia="SimSun" w:hAnsi="Cambria"/>
                <w:color w:val="00000A"/>
                <w:kern w:val="2"/>
              </w:rPr>
            </w:pPr>
            <w:r>
              <w:rPr>
                <w:rFonts w:ascii="Cambria" w:eastAsia="SimSun" w:hAnsi="Cambria"/>
                <w:color w:val="00000A"/>
                <w:kern w:val="2"/>
              </w:rPr>
              <w:t>Wartość wymagana –   0 pkt.</w:t>
            </w:r>
          </w:p>
          <w:p w:rsidR="00436A3F" w:rsidRDefault="00157DB7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Wartość większa – 4</w:t>
            </w:r>
            <w:r w:rsidR="00436A3F">
              <w:rPr>
                <w:rFonts w:ascii="Cambria" w:hAnsi="Cambria"/>
              </w:rPr>
              <w:t xml:space="preserve"> </w:t>
            </w:r>
            <w:proofErr w:type="spellStart"/>
            <w:r w:rsidR="00436A3F">
              <w:rPr>
                <w:rFonts w:ascii="Cambria" w:hAnsi="Cambria"/>
              </w:rPr>
              <w:t>pkt</w:t>
            </w:r>
            <w:proofErr w:type="spellEnd"/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32.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Zmotoryzowany ruch pionowy.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Całkowity zakres obrotu ramienia wokół osi poziomej ≥ ± 205°.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34.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Zakres ruchu orbitalnego ≥ 120°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napToGrid w:val="0"/>
              <w:spacing w:line="100" w:lineRule="atLeast"/>
              <w:rPr>
                <w:rFonts w:ascii="Cambria" w:eastAsia="SimSun" w:hAnsi="Cambria"/>
                <w:color w:val="00000A"/>
                <w:kern w:val="2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35.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Ramie C zbalansowane w każdej pozycji.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36.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Urządzenie zabezpieczające przed najeżdżaniem na leżące przewody.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37.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100" w:lineRule="atLeast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hAnsi="Cambria"/>
                <w:lang w:eastAsia="en-US"/>
              </w:rPr>
              <w:t>Hamulce ruchów ramienia C fabrycznie oznaczone kolorami (każdy hamulec innym)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38.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24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Pojedyncza dźwignia do sterowania kołami aparatu, dodatkowo pozostałe hamulce aparatu oznaczone kolorami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39.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27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hAnsi="Cambria"/>
                <w:lang w:eastAsia="en-US"/>
              </w:rPr>
              <w:t>Do pracy pedał nożny</w:t>
            </w:r>
            <w:r>
              <w:rPr>
                <w:rFonts w:ascii="Cambria" w:hAnsi="Cambria"/>
                <w:lang w:eastAsia="en-US"/>
              </w:rPr>
              <w:br/>
              <w:t>z możliwością włączania promieniowania i zapisu oraz włącznik ręczny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27"/>
              <w:jc w:val="both"/>
              <w:rPr>
                <w:rFonts w:ascii="Cambria" w:eastAsia="SimSun" w:hAnsi="Cambria"/>
                <w:color w:val="000000"/>
                <w:kern w:val="2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40.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Uchwyt  do łatwego pozycjonowania ramienia podczas zabiegu.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41.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tabs>
                <w:tab w:val="left" w:pos="2772"/>
              </w:tabs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Uchwyt do łatwego pozycjonowania ramienia w repozycji ( ustawienie lampa na górze)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124793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42.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tabs>
                <w:tab w:val="left" w:pos="2772"/>
              </w:tabs>
              <w:autoSpaceDE w:val="0"/>
              <w:autoSpaceDN w:val="0"/>
              <w:adjustRightInd w:val="0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Płynna regulacja parametrów z poziomu tabletu min:</w:t>
            </w:r>
          </w:p>
          <w:p w:rsidR="00436A3F" w:rsidRDefault="00436A3F">
            <w:pPr>
              <w:tabs>
                <w:tab w:val="left" w:pos="2772"/>
              </w:tabs>
              <w:autoSpaceDE w:val="0"/>
              <w:autoSpaceDN w:val="0"/>
              <w:adjustRightInd w:val="0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- skala szarości</w:t>
            </w:r>
          </w:p>
          <w:p w:rsidR="00436A3F" w:rsidRDefault="00436A3F">
            <w:pPr>
              <w:tabs>
                <w:tab w:val="left" w:pos="2772"/>
              </w:tabs>
              <w:autoSpaceDE w:val="0"/>
              <w:autoSpaceDN w:val="0"/>
              <w:adjustRightInd w:val="0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- jasność i kontrast</w:t>
            </w:r>
          </w:p>
          <w:p w:rsidR="00436A3F" w:rsidRDefault="00436A3F">
            <w:pPr>
              <w:tabs>
                <w:tab w:val="left" w:pos="2772"/>
              </w:tabs>
              <w:autoSpaceDE w:val="0"/>
              <w:autoSpaceDN w:val="0"/>
              <w:adjustRightInd w:val="0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- filtr detekcji metalu</w:t>
            </w:r>
          </w:p>
          <w:p w:rsidR="00436A3F" w:rsidRDefault="00436A3F">
            <w:pPr>
              <w:tabs>
                <w:tab w:val="left" w:pos="2772"/>
              </w:tabs>
              <w:autoSpaceDE w:val="0"/>
              <w:autoSpaceDN w:val="0"/>
              <w:adjustRightInd w:val="0"/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- filtr odpowiadający za detekcję układu kostnego</w:t>
            </w:r>
          </w:p>
          <w:p w:rsidR="00436A3F" w:rsidRDefault="00436A3F">
            <w:pPr>
              <w:tabs>
                <w:tab w:val="left" w:pos="2772"/>
              </w:tabs>
              <w:rPr>
                <w:rFonts w:ascii="Cambria" w:hAnsi="Cambria" w:cs="Tahoma"/>
                <w:color w:val="000000"/>
              </w:rPr>
            </w:pPr>
            <w:r>
              <w:rPr>
                <w:rFonts w:ascii="Cambria" w:hAnsi="Cambria" w:cs="Tahoma"/>
                <w:color w:val="000000"/>
              </w:rPr>
              <w:t>- filtr szumów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124793">
        <w:trPr>
          <w:trHeight w:val="454"/>
        </w:trPr>
        <w:tc>
          <w:tcPr>
            <w:tcW w:w="10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lastRenderedPageBreak/>
              <w:t>WZMACNIACZ OBRAZU</w:t>
            </w:r>
          </w:p>
        </w:tc>
        <w:tc>
          <w:tcPr>
            <w:tcW w:w="4331" w:type="dxa"/>
            <w:vAlign w:val="center"/>
          </w:tcPr>
          <w:p w:rsidR="00436A3F" w:rsidRDefault="00436A3F">
            <w:pPr>
              <w:tabs>
                <w:tab w:val="left" w:pos="2772"/>
              </w:tabs>
              <w:rPr>
                <w:rFonts w:ascii="Cambria" w:hAnsi="Cambria" w:cs="Tahoma"/>
                <w:color w:val="FF0000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43.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Średnica nominalna </w:t>
            </w:r>
            <w:r>
              <w:rPr>
                <w:rFonts w:ascii="Cambria" w:hAnsi="Cambria"/>
                <w:color w:val="000000"/>
                <w:lang w:eastAsia="en-US"/>
              </w:rPr>
              <w:t>≥ 9”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44.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Ilość pól wzmacniacza obrazu min. 3. DQE </w:t>
            </w:r>
            <w:r>
              <w:rPr>
                <w:rFonts w:ascii="Cambria" w:hAnsi="Cambria"/>
                <w:color w:val="000000"/>
                <w:lang w:eastAsia="en-US"/>
              </w:rPr>
              <w:t>≥</w:t>
            </w:r>
            <w:r>
              <w:rPr>
                <w:rFonts w:ascii="Cambria" w:eastAsia="SimSun" w:hAnsi="Cambria"/>
                <w:color w:val="000000"/>
                <w:kern w:val="2"/>
              </w:rPr>
              <w:t>65%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45.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hAnsi="Cambria"/>
                <w:lang w:eastAsia="en-US"/>
              </w:rPr>
              <w:t xml:space="preserve">Rozdzielczość kamery CCD </w:t>
            </w:r>
            <w:r>
              <w:rPr>
                <w:rFonts w:ascii="Cambria" w:hAnsi="Cambria"/>
                <w:color w:val="000000"/>
                <w:lang w:eastAsia="en-US"/>
              </w:rPr>
              <w:t>≥1k x 1k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10358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b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MONITOR I TOR WIZYJNY NA JEDNYM WÓZKU</w:t>
            </w: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46.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87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Monitory umieszczone na wózku z ramieniem C.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47.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Monitory 2x 19” o rozdzielczości ≥ 1280 x 1024  pikseli lub monitor 27” medyczny, dotykowy LCD o rozdzielczości ≥ 1920x1080 pikseli</w:t>
            </w:r>
          </w:p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</w:p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Kontrast ≥1000:1 luminacja≥ 600cd/m2.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Monitory 2x 19” o rozdzielczości ≥ 1280 x 1024  pikseli – 0 pkt.</w:t>
            </w:r>
          </w:p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</w:p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Monitor 27” medyczny, dotykowy LCD o rozdzielczości ≥ 1920x1080 pikseli – 5 pkt</w:t>
            </w:r>
          </w:p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48.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Monitor zamontowany na przegubowym ramieniu, widoczny ze wszystkich czterech stron systemu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49.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Możliwość regulacji wysokości monitora w zakresie min. 35 cm bez ruchu pionowego kolumny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50.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hAnsi="Cambria"/>
              </w:rPr>
              <w:t>Możliwość wyświetlania mozaiki zdjęć na monitorze głównym, podczas wyświetlania 2 obrazów w pełnym rozmiarze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51.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Min. 5 punktów swobody ustawienia monitora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52.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lang w:eastAsia="en-US"/>
              </w:rPr>
              <w:t>Uchwyt na obudowie monitora do łatwego sterowania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53.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Kąt widzenia (obrazu min. 176°).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54.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hAnsi="Cambria"/>
                <w:lang w:eastAsia="en-US"/>
              </w:rPr>
              <w:t>Wyjście TV OUT do podłączenia dodatkowego monitora lub systemów nawigacji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55.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485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Ilość obrazów wyświetlana jednocześnie na monitorze min. 16 obrazów.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56.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Matryca obrazu zapamiętanego min. 1k x 1k pikseli, 32 bit.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57.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Pojemność pamięci na dysku twardym min. 100 000 obrazów.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58.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Archiwizacja poprzez port USB – zapis obrazów w formacie umożliwiającym odtworzenia zdjęć na dowolnym komputerze bez konieczności posiadania dodatkowego oprogramowania. Wyjście USB.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59.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Archiwizacja obrazów w formacie TIFF lub Raw lub BMP.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124793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60.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  <w:lang w:val="en-US"/>
              </w:rPr>
            </w:pPr>
            <w:proofErr w:type="spellStart"/>
            <w:r>
              <w:rPr>
                <w:rFonts w:ascii="Cambria" w:eastAsia="SimSun" w:hAnsi="Cambria"/>
                <w:color w:val="000000"/>
                <w:kern w:val="2"/>
                <w:lang w:val="en-US"/>
              </w:rPr>
              <w:t>Funkcja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  <w:lang w:val="en-US"/>
              </w:rPr>
              <w:t xml:space="preserve"> „Last Image Hold” (LIH).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124793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uppressAutoHyphens w:val="0"/>
              <w:snapToGrid w:val="0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  <w:lang w:eastAsia="pl-PL"/>
              </w:rPr>
              <w:t>Cyfrowe odwracanie obrazu góra/dół, lewo / prawo na monitorze.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124793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62.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ZOOM min. x 4. Obraz lustrzany.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124793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63.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right="132"/>
              <w:jc w:val="both"/>
              <w:rPr>
                <w:rFonts w:ascii="Cambria" w:eastAsia="SimSun" w:hAnsi="Cambria"/>
                <w:color w:val="000000"/>
                <w:kern w:val="2"/>
                <w:lang w:val="en-US"/>
              </w:rPr>
            </w:pPr>
            <w:proofErr w:type="spellStart"/>
            <w:r>
              <w:rPr>
                <w:rFonts w:ascii="Cambria" w:eastAsia="SimSun" w:hAnsi="Cambria"/>
                <w:color w:val="000000"/>
                <w:kern w:val="2"/>
                <w:lang w:val="en-US"/>
              </w:rPr>
              <w:t>Oprogramowanie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  <w:lang w:val="en-US"/>
              </w:rPr>
              <w:t xml:space="preserve"> DICOM 3.0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64.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Obrót obrazu płynny cyfrowy bez ograniczeń kąta i kierunku obrotu i wyzwalania dodatkowych dawek promieniowania.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65.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Układ pomiaru dawki z wyświetlaczem cyfrowym i archiwizacją dawki na zdjęciu na monitorze, w pamięci aparatu oraz na zdjęciu drukowanym.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66.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 xml:space="preserve">Monitor dotykowy kolorowy VGA min. 640x480 lub dotykowy tablet 10” z możliwością obrotu o rozdzielczości 1280x800 znajdujący się na wózku ramienia C do sterowania wszystkimi funkcjami generatora i programami aparatu z opcją podglądu </w:t>
            </w:r>
            <w:proofErr w:type="spellStart"/>
            <w:r>
              <w:rPr>
                <w:rFonts w:ascii="Cambria" w:eastAsia="SimSun" w:hAnsi="Cambria"/>
                <w:color w:val="000000"/>
                <w:kern w:val="2"/>
              </w:rPr>
              <w:t>skopii</w:t>
            </w:r>
            <w:proofErr w:type="spellEnd"/>
            <w:r>
              <w:rPr>
                <w:rFonts w:ascii="Cambria" w:eastAsia="SimSun" w:hAnsi="Cambria"/>
                <w:color w:val="000000"/>
                <w:kern w:val="2"/>
              </w:rPr>
              <w:t xml:space="preserve"> live.</w:t>
            </w:r>
          </w:p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32"/>
              <w:jc w:val="both"/>
              <w:rPr>
                <w:rFonts w:ascii="Cambria" w:eastAsia="SimSun" w:hAnsi="Cambria"/>
                <w:color w:val="000000"/>
                <w:kern w:val="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Monitor dotykowy kolorowy VGA min. 640x480 – 0 pkt</w:t>
            </w:r>
          </w:p>
          <w:p w:rsidR="00436A3F" w:rsidRDefault="00436A3F">
            <w:pPr>
              <w:snapToGrid w:val="0"/>
              <w:rPr>
                <w:rFonts w:ascii="Cambria" w:hAnsi="Cambria"/>
                <w:color w:val="000000"/>
              </w:rPr>
            </w:pPr>
          </w:p>
          <w:p w:rsidR="00436A3F" w:rsidRDefault="00436A3F">
            <w:pPr>
              <w:snapToGrid w:val="0"/>
              <w:rPr>
                <w:rFonts w:ascii="Cambria" w:hAnsi="Cambria"/>
              </w:rPr>
            </w:pPr>
            <w:r>
              <w:rPr>
                <w:rFonts w:ascii="Cambria" w:hAnsi="Cambria"/>
                <w:color w:val="000000"/>
              </w:rPr>
              <w:t>Dotykowy tablet 10” z możliwością obrotu o rozdzielczości 1280x800 – 5 pkt</w:t>
            </w: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10358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WYPOSAŻENIE DODATKOWE / WARUNKI SERWISU I GWARANCJI</w:t>
            </w: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67.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uppressAutoHyphens w:val="0"/>
              <w:snapToGrid w:val="0"/>
              <w:jc w:val="both"/>
              <w:rPr>
                <w:rFonts w:ascii="Cambria" w:hAnsi="Cambria"/>
                <w:color w:val="000000"/>
                <w:lang w:eastAsia="pl-PL"/>
              </w:rPr>
            </w:pPr>
            <w:r>
              <w:rPr>
                <w:rFonts w:ascii="Cambria" w:hAnsi="Cambria"/>
                <w:color w:val="000000"/>
                <w:lang w:eastAsia="pl-PL"/>
              </w:rPr>
              <w:t>Celownik laserowy na wzmacniaczu obrazu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68.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uppressAutoHyphens w:val="0"/>
              <w:snapToGrid w:val="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color w:val="000000"/>
                <w:lang w:eastAsia="pl-PL"/>
              </w:rPr>
              <w:t xml:space="preserve">Dostawa wraz z rozładunkiem, montażem oraz uruchomieniem </w:t>
            </w:r>
            <w:r>
              <w:rPr>
                <w:rFonts w:ascii="Cambria" w:hAnsi="Cambria"/>
                <w:color w:val="000000"/>
                <w:lang w:eastAsia="pl-PL"/>
              </w:rPr>
              <w:br/>
              <w:t xml:space="preserve">i przeszkoleniem personelu.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69.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02"/>
              <w:jc w:val="both"/>
              <w:rPr>
                <w:rFonts w:ascii="Cambria" w:eastAsia="SimSun" w:hAnsi="Cambria"/>
                <w:color w:val="00000A"/>
                <w:kern w:val="2"/>
              </w:rPr>
            </w:pPr>
            <w:r w:rsidRPr="00F81687">
              <w:rPr>
                <w:rFonts w:ascii="Cambria" w:eastAsia="SimSun" w:hAnsi="Cambria"/>
                <w:kern w:val="2"/>
              </w:rPr>
              <w:t>Okres gwarancji dostępności części zamie</w:t>
            </w:r>
            <w:r w:rsidR="00E70054" w:rsidRPr="00F81687">
              <w:rPr>
                <w:rFonts w:ascii="Cambria" w:eastAsia="SimSun" w:hAnsi="Cambria"/>
                <w:kern w:val="2"/>
              </w:rPr>
              <w:t>nnych od daty sprzedaży aparatu min 10 lat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70.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02"/>
              <w:jc w:val="both"/>
              <w:rPr>
                <w:rFonts w:ascii="Cambria" w:eastAsia="SimSun" w:hAnsi="Cambria"/>
                <w:color w:val="00000A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Bezpłatny przegląd okresowy w czasie trwania gwarancji.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02"/>
              <w:jc w:val="both"/>
              <w:rPr>
                <w:rFonts w:ascii="Cambria" w:eastAsia="SimSun" w:hAnsi="Cambria"/>
                <w:color w:val="00000A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Autoryzowany serwis gwarancyjny na terenie Polski.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72.</w:t>
            </w:r>
          </w:p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widowControl w:val="0"/>
              <w:shd w:val="clear" w:color="auto" w:fill="FFFFFF"/>
              <w:spacing w:line="211" w:lineRule="exact"/>
              <w:ind w:left="-3" w:right="102"/>
              <w:jc w:val="both"/>
              <w:rPr>
                <w:rFonts w:ascii="Cambria" w:eastAsia="SimSun" w:hAnsi="Cambria"/>
                <w:color w:val="000000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</w:rPr>
              <w:t>C</w:t>
            </w:r>
            <w:r w:rsidRPr="00436A3F">
              <w:rPr>
                <w:rFonts w:ascii="Cambria" w:eastAsia="SimSun" w:hAnsi="Cambria"/>
                <w:color w:val="000000"/>
                <w:kern w:val="2"/>
              </w:rPr>
              <w:t xml:space="preserve">zas reakcji serwisu 48 h (w tym również kontakt zdalny), czas naprawy </w:t>
            </w:r>
            <w:r>
              <w:rPr>
                <w:rFonts w:ascii="Cambria" w:eastAsia="SimSun" w:hAnsi="Cambria"/>
                <w:color w:val="000000"/>
                <w:kern w:val="2"/>
              </w:rPr>
              <w:t xml:space="preserve"> do </w:t>
            </w:r>
            <w:r w:rsidRPr="00436A3F">
              <w:rPr>
                <w:rFonts w:ascii="Cambria" w:eastAsia="SimSun" w:hAnsi="Cambria"/>
                <w:color w:val="000000"/>
                <w:kern w:val="2"/>
              </w:rPr>
              <w:t xml:space="preserve">5 dni roboczych, w razie konieczności sprowadzenia części z zagranicy czas naprawy </w:t>
            </w:r>
            <w:r>
              <w:rPr>
                <w:rFonts w:ascii="Cambria" w:eastAsia="SimSun" w:hAnsi="Cambria"/>
                <w:color w:val="000000"/>
                <w:kern w:val="2"/>
              </w:rPr>
              <w:t xml:space="preserve"> do</w:t>
            </w:r>
            <w:r w:rsidRPr="00436A3F">
              <w:rPr>
                <w:rFonts w:ascii="Cambria" w:eastAsia="SimSun" w:hAnsi="Cambria"/>
                <w:color w:val="000000"/>
                <w:kern w:val="2"/>
              </w:rPr>
              <w:t>10 dni</w:t>
            </w:r>
            <w:r>
              <w:rPr>
                <w:rFonts w:ascii="Cambria" w:eastAsia="SimSun" w:hAnsi="Cambria"/>
                <w:color w:val="000000"/>
                <w:kern w:val="2"/>
              </w:rPr>
              <w:t xml:space="preserve"> roboczych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widowControl w:val="0"/>
              <w:shd w:val="clear" w:color="auto" w:fill="FFFFFF"/>
              <w:snapToGrid w:val="0"/>
              <w:spacing w:line="211" w:lineRule="exact"/>
              <w:ind w:right="485"/>
              <w:jc w:val="both"/>
              <w:rPr>
                <w:rFonts w:ascii="Cambria" w:eastAsia="SimSun" w:hAnsi="Cambria"/>
                <w:color w:val="00000A"/>
                <w:kern w:val="2"/>
              </w:rPr>
            </w:pPr>
            <w:r>
              <w:rPr>
                <w:rFonts w:ascii="Cambria" w:eastAsia="SimSun" w:hAnsi="Cambria"/>
                <w:color w:val="000000"/>
                <w:kern w:val="2"/>
                <w:lang w:eastAsia="pl-PL"/>
              </w:rPr>
              <w:t>Przeprowadzenie na koszt wykonawcy testów specjalistycznych i akceptacyjnych aparatu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74.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uppressAutoHyphens w:val="0"/>
              <w:snapToGrid w:val="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lang w:eastAsia="pl-PL"/>
              </w:rPr>
              <w:t>Instrukcja obsługi w języku polskim.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436A3F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75.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autoSpaceDE w:val="0"/>
              <w:snapToGrid w:val="0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Gwarancja 24 miesiące. 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436A3F" w:rsidTr="00F81687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76.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36A3F" w:rsidRDefault="00436A3F">
            <w:pPr>
              <w:autoSpaceDE w:val="0"/>
              <w:snapToGrid w:val="0"/>
              <w:jc w:val="both"/>
              <w:rPr>
                <w:rFonts w:ascii="Cambria" w:hAnsi="Cambria"/>
              </w:rPr>
            </w:pPr>
            <w:r>
              <w:rPr>
                <w:rFonts w:ascii="Cambria" w:eastAsia="Verdana" w:hAnsi="Cambria"/>
              </w:rPr>
              <w:t>Certyfikat potwierdzający posiadanie znaku CE, bądź Deklaracje Zgodności CE lub inne dokumenty równoważne.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36A3F" w:rsidRDefault="00436A3F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 PODAĆ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36A3F" w:rsidRDefault="00436A3F">
            <w:pPr>
              <w:snapToGrid w:val="0"/>
              <w:rPr>
                <w:rFonts w:ascii="Cambria" w:hAnsi="Cambria"/>
              </w:rPr>
            </w:pPr>
          </w:p>
        </w:tc>
      </w:tr>
      <w:tr w:rsidR="00F81687" w:rsidTr="00F81687">
        <w:trPr>
          <w:gridAfter w:val="1"/>
          <w:wAfter w:w="4331" w:type="dxa"/>
          <w:trHeight w:val="4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87" w:rsidRDefault="00F81687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87" w:rsidRDefault="00F81687">
            <w:pPr>
              <w:autoSpaceDE w:val="0"/>
              <w:snapToGrid w:val="0"/>
              <w:jc w:val="both"/>
              <w:rPr>
                <w:rFonts w:ascii="Cambria" w:eastAsia="Verdana" w:hAnsi="Cambria"/>
              </w:rPr>
            </w:pPr>
            <w:r>
              <w:rPr>
                <w:rFonts w:ascii="Cambria" w:eastAsia="Verdana" w:hAnsi="Cambria"/>
              </w:rPr>
              <w:t>Nieodpłatna aktualizacja oprogramowania w ramach przeglądów okresowych.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87" w:rsidRDefault="00F81687">
            <w:pPr>
              <w:snapToGri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87" w:rsidRDefault="00F81687">
            <w:pPr>
              <w:snapToGrid w:val="0"/>
              <w:rPr>
                <w:rFonts w:ascii="Cambria" w:hAnsi="Cambri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687" w:rsidRDefault="00F81687">
            <w:pPr>
              <w:snapToGrid w:val="0"/>
              <w:rPr>
                <w:rFonts w:ascii="Cambria" w:hAnsi="Cambria"/>
              </w:rPr>
            </w:pPr>
          </w:p>
        </w:tc>
      </w:tr>
    </w:tbl>
    <w:p w:rsidR="006B770E" w:rsidRDefault="006B770E"/>
    <w:sectPr w:rsidR="006B770E" w:rsidSect="00124793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7FC4"/>
    <w:rsid w:val="00107FC4"/>
    <w:rsid w:val="00124793"/>
    <w:rsid w:val="00157DB7"/>
    <w:rsid w:val="001600AB"/>
    <w:rsid w:val="003661D7"/>
    <w:rsid w:val="00436A3F"/>
    <w:rsid w:val="006B770E"/>
    <w:rsid w:val="009F2646"/>
    <w:rsid w:val="00C34A23"/>
    <w:rsid w:val="00C82795"/>
    <w:rsid w:val="00E3179D"/>
    <w:rsid w:val="00E55CB8"/>
    <w:rsid w:val="00E70054"/>
    <w:rsid w:val="00E86043"/>
    <w:rsid w:val="00F81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6A3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1BA3-6A04-42D8-AE1A-94BC0337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1003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Ja</cp:lastModifiedBy>
  <cp:revision>4</cp:revision>
  <dcterms:created xsi:type="dcterms:W3CDTF">2023-11-14T19:13:00Z</dcterms:created>
  <dcterms:modified xsi:type="dcterms:W3CDTF">2023-11-16T07:02:00Z</dcterms:modified>
</cp:coreProperties>
</file>